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3C" w:rsidRPr="00743E81" w:rsidRDefault="00F82CB0" w:rsidP="00D4477A">
      <w:pPr>
        <w:spacing w:line="240" w:lineRule="auto"/>
        <w:jc w:val="both"/>
        <w:rPr>
          <w:rFonts w:ascii="Gerbera Light" w:hAnsi="Gerbera Light"/>
        </w:rPr>
      </w:pPr>
      <w:r w:rsidRPr="00743E81">
        <w:rPr>
          <w:rFonts w:ascii="Gerbera Light" w:hAnsi="Gerbera Light"/>
          <w:noProof/>
          <w:lang w:eastAsia="ru-RU"/>
        </w:rPr>
        <w:drawing>
          <wp:inline distT="0" distB="0" distL="0" distR="0" wp14:anchorId="4483F2B2" wp14:editId="15026C9C">
            <wp:extent cx="1800225" cy="4762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02" cy="47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77A" w:rsidRPr="00743E81" w:rsidRDefault="00D4477A" w:rsidP="00D4477A">
      <w:pPr>
        <w:spacing w:line="240" w:lineRule="auto"/>
        <w:jc w:val="both"/>
        <w:rPr>
          <w:rFonts w:ascii="Gerbera Light" w:hAnsi="Gerbera Light"/>
        </w:rPr>
      </w:pPr>
    </w:p>
    <w:p w:rsidR="00D4477A" w:rsidRPr="00743E81" w:rsidRDefault="00D4477A" w:rsidP="00D4477A">
      <w:pPr>
        <w:spacing w:line="240" w:lineRule="auto"/>
        <w:jc w:val="both"/>
        <w:rPr>
          <w:rFonts w:ascii="Gerbera Light" w:hAnsi="Gerbera Light"/>
        </w:rPr>
      </w:pPr>
    </w:p>
    <w:p w:rsidR="00A56B44" w:rsidRPr="00743E81" w:rsidRDefault="00A56B44" w:rsidP="00D4477A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  <w:t>Условия оформления ДТП без вызова сотрудников ГИБДД («</w:t>
      </w:r>
      <w:proofErr w:type="spellStart"/>
      <w:r w:rsidRPr="00743E81"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  <w:t>Европротокол</w:t>
      </w:r>
      <w:proofErr w:type="spellEnd"/>
      <w:r w:rsidRPr="00743E81"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  <w:t>»)</w:t>
      </w:r>
    </w:p>
    <w:p w:rsidR="00D4477A" w:rsidRPr="00743E81" w:rsidRDefault="00D4477A" w:rsidP="00D4477A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</w:pPr>
    </w:p>
    <w:p w:rsidR="00A56B44" w:rsidRPr="00743E81" w:rsidRDefault="00A56B44" w:rsidP="00D4477A">
      <w:pPr>
        <w:shd w:val="clear" w:color="auto" w:fill="FFFFFF"/>
        <w:spacing w:before="240" w:line="240" w:lineRule="auto"/>
        <w:jc w:val="both"/>
        <w:textAlignment w:val="baseline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t>Чтобы оформить ДТП без вызова сотрудников ГИБДД, необходимо соблюсти ряд условий:</w:t>
      </w:r>
    </w:p>
    <w:p w:rsidR="00A56B44" w:rsidRPr="00743E81" w:rsidRDefault="00A56B44" w:rsidP="00D4477A">
      <w:pPr>
        <w:numPr>
          <w:ilvl w:val="0"/>
          <w:numId w:val="14"/>
        </w:numPr>
        <w:spacing w:after="240" w:line="240" w:lineRule="auto"/>
        <w:ind w:left="0"/>
        <w:jc w:val="both"/>
        <w:textAlignment w:val="baseline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t>Столкнулись два транспортных средства</w:t>
      </w:r>
      <w:r w:rsidR="00206B7A" w:rsidRPr="00743E81">
        <w:rPr>
          <w:rFonts w:ascii="Gerbera" w:hAnsi="Gerbera"/>
          <w:color w:val="575D6C"/>
        </w:rPr>
        <w:t xml:space="preserve"> (допускается наличие </w:t>
      </w:r>
      <w:r w:rsidR="00743E81" w:rsidRPr="00743E81">
        <w:rPr>
          <w:rFonts w:ascii="Gerbera" w:hAnsi="Gerbera"/>
          <w:color w:val="575D6C"/>
        </w:rPr>
        <w:t>прицепа</w:t>
      </w:r>
      <w:r w:rsidR="00206B7A" w:rsidRPr="00743E81">
        <w:rPr>
          <w:rFonts w:ascii="Gerbera" w:hAnsi="Gerbera"/>
          <w:color w:val="575D6C"/>
        </w:rPr>
        <w:t xml:space="preserve"> к ним).</w:t>
      </w:r>
      <w:r w:rsidRPr="00743E81">
        <w:rPr>
          <w:rFonts w:ascii="Gerbera" w:hAnsi="Gerbera"/>
          <w:color w:val="575D6C"/>
        </w:rPr>
        <w:t xml:space="preserve"> При этом ущерб нанесен только автомобилям. Другое имущество и люди не пострадали.</w:t>
      </w:r>
    </w:p>
    <w:p w:rsidR="00A56B44" w:rsidRPr="00743E81" w:rsidRDefault="00A56B44" w:rsidP="00D4477A">
      <w:pPr>
        <w:numPr>
          <w:ilvl w:val="0"/>
          <w:numId w:val="14"/>
        </w:numPr>
        <w:spacing w:before="240" w:after="240" w:line="240" w:lineRule="auto"/>
        <w:ind w:left="0"/>
        <w:jc w:val="both"/>
        <w:textAlignment w:val="baseline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t>Оба автомобиля на момент происшествия застрахованы по ОСАГО или по международной «Зеленой карте».</w:t>
      </w:r>
    </w:p>
    <w:p w:rsidR="00A56B44" w:rsidRPr="00743E81" w:rsidRDefault="00A56B44" w:rsidP="00D4477A">
      <w:pPr>
        <w:numPr>
          <w:ilvl w:val="0"/>
          <w:numId w:val="14"/>
        </w:numPr>
        <w:spacing w:before="240" w:after="240" w:line="240" w:lineRule="auto"/>
        <w:ind w:left="0"/>
        <w:jc w:val="both"/>
        <w:textAlignment w:val="baseline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t xml:space="preserve">Оба участника аварии </w:t>
      </w:r>
      <w:proofErr w:type="gramStart"/>
      <w:r w:rsidRPr="00743E81">
        <w:rPr>
          <w:rFonts w:ascii="Gerbera" w:hAnsi="Gerbera"/>
          <w:color w:val="575D6C"/>
        </w:rPr>
        <w:t>согласны со всеми обстоятельствами происшествия и записали</w:t>
      </w:r>
      <w:proofErr w:type="gramEnd"/>
      <w:r w:rsidRPr="00743E81">
        <w:rPr>
          <w:rFonts w:ascii="Gerbera" w:hAnsi="Gerbera"/>
          <w:color w:val="575D6C"/>
        </w:rPr>
        <w:t xml:space="preserve"> их вместе с перечнем всех видимых повреждений в Извещении о ДТП.</w:t>
      </w:r>
    </w:p>
    <w:p w:rsidR="00A56B44" w:rsidRPr="00743E81" w:rsidRDefault="00A56B44" w:rsidP="00D4477A">
      <w:pPr>
        <w:numPr>
          <w:ilvl w:val="0"/>
          <w:numId w:val="14"/>
        </w:numPr>
        <w:spacing w:before="240" w:after="240" w:line="240" w:lineRule="auto"/>
        <w:ind w:left="0"/>
        <w:jc w:val="both"/>
        <w:textAlignment w:val="baseline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t>Если у участников есть разногласия (только для ДТП, произошедших начиная со 2 июня 2018 года и позднее), то об этом нужно написать в Извещении о ДТП, а все данные об аварии передать в АИС ОСАГО через приложение РСА или с помощью технических средств контроля.</w:t>
      </w:r>
    </w:p>
    <w:p w:rsidR="006E4331" w:rsidRPr="00743E81" w:rsidRDefault="00DF5D4F" w:rsidP="00D4477A">
      <w:pPr>
        <w:numPr>
          <w:ilvl w:val="0"/>
          <w:numId w:val="14"/>
        </w:numPr>
        <w:spacing w:before="240" w:after="240" w:line="240" w:lineRule="auto"/>
        <w:ind w:left="0"/>
        <w:jc w:val="both"/>
        <w:textAlignment w:val="baseline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t xml:space="preserve"> Передать данные об аварии в АИС ОСАГО через приложение РСА или с помощью технических средств контроля следует </w:t>
      </w:r>
      <w:proofErr w:type="gramStart"/>
      <w:r w:rsidRPr="00743E81">
        <w:rPr>
          <w:rFonts w:ascii="Gerbera" w:hAnsi="Gerbera"/>
          <w:color w:val="575D6C"/>
        </w:rPr>
        <w:t>также</w:t>
      </w:r>
      <w:proofErr w:type="gramEnd"/>
      <w:r w:rsidRPr="00743E81">
        <w:rPr>
          <w:rFonts w:ascii="Gerbera" w:hAnsi="Gerbera"/>
          <w:color w:val="575D6C"/>
        </w:rPr>
        <w:t xml:space="preserve"> если у участников отсутствуют разногласия и</w:t>
      </w:r>
      <w:r w:rsidR="00C7504D" w:rsidRPr="00743E81">
        <w:rPr>
          <w:rFonts w:ascii="Gerbera" w:hAnsi="Gerbera"/>
          <w:color w:val="575D6C"/>
        </w:rPr>
        <w:t xml:space="preserve"> возможный вред машине превысит </w:t>
      </w:r>
      <w:r w:rsidR="005F3D71" w:rsidRPr="00743E81">
        <w:rPr>
          <w:rFonts w:ascii="Gerbera" w:hAnsi="Gerbera"/>
          <w:color w:val="575D6C"/>
        </w:rPr>
        <w:t>100 000 руб.</w:t>
      </w:r>
      <w:r w:rsidR="00C7504D" w:rsidRPr="00743E81">
        <w:rPr>
          <w:rFonts w:ascii="Gerbera" w:hAnsi="Gerbera"/>
          <w:color w:val="575D6C"/>
        </w:rPr>
        <w:t xml:space="preserve"> </w:t>
      </w:r>
      <w:r w:rsidRPr="00743E81">
        <w:rPr>
          <w:rFonts w:ascii="Gerbera" w:hAnsi="Gerbera"/>
          <w:color w:val="575D6C"/>
        </w:rPr>
        <w:t xml:space="preserve"> </w:t>
      </w:r>
    </w:p>
    <w:p w:rsidR="00D4477A" w:rsidRPr="00743E81" w:rsidRDefault="00D4477A" w:rsidP="00D4477A">
      <w:pPr>
        <w:shd w:val="clear" w:color="auto" w:fill="FFFFFF"/>
        <w:spacing w:after="0" w:line="240" w:lineRule="auto"/>
        <w:jc w:val="both"/>
        <w:textAlignment w:val="baseline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t xml:space="preserve">Если эти требования не выполнить, то оформить ДТП по </w:t>
      </w:r>
      <w:proofErr w:type="spellStart"/>
      <w:r w:rsidRPr="00743E81">
        <w:rPr>
          <w:rFonts w:ascii="Gerbera" w:hAnsi="Gerbera"/>
          <w:color w:val="575D6C"/>
        </w:rPr>
        <w:t>Европротоколу</w:t>
      </w:r>
      <w:proofErr w:type="spellEnd"/>
      <w:r w:rsidRPr="00743E81">
        <w:rPr>
          <w:rFonts w:ascii="Gerbera" w:hAnsi="Gerbera"/>
          <w:color w:val="575D6C"/>
        </w:rPr>
        <w:t xml:space="preserve"> нельзя. Придется вызывать ГИБДД.</w:t>
      </w:r>
    </w:p>
    <w:p w:rsidR="00206B7A" w:rsidRPr="00743E81" w:rsidRDefault="00206B7A" w:rsidP="00D4477A">
      <w:pPr>
        <w:spacing w:before="240" w:after="0" w:line="240" w:lineRule="auto"/>
        <w:ind w:left="255"/>
        <w:jc w:val="center"/>
        <w:textAlignment w:val="baseline"/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  <w:t>Лимиты выплат, которые действуют сейчас</w:t>
      </w:r>
    </w:p>
    <w:p w:rsidR="00D4477A" w:rsidRPr="00743E81" w:rsidRDefault="00D4477A" w:rsidP="00D4477A">
      <w:pPr>
        <w:spacing w:before="240" w:after="0" w:line="240" w:lineRule="auto"/>
        <w:ind w:left="255"/>
        <w:jc w:val="center"/>
        <w:textAlignment w:val="baseline"/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</w:pPr>
    </w:p>
    <w:p w:rsidR="00206B7A" w:rsidRPr="00743E81" w:rsidRDefault="00206B7A" w:rsidP="00D4477A">
      <w:pPr>
        <w:pStyle w:val="a5"/>
        <w:numPr>
          <w:ilvl w:val="0"/>
          <w:numId w:val="16"/>
        </w:numPr>
        <w:spacing w:before="240" w:after="0" w:line="240" w:lineRule="auto"/>
        <w:ind w:left="0" w:hanging="284"/>
        <w:jc w:val="both"/>
        <w:textAlignment w:val="baseline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t>до 100 000 руб., если у участников ДТП нет разногласий или разногласия есть, но авария оформлена через приложение</w:t>
      </w:r>
      <w:r w:rsidR="00D4477A" w:rsidRPr="00743E81">
        <w:rPr>
          <w:rFonts w:ascii="Gerbera" w:hAnsi="Gerbera"/>
          <w:color w:val="575D6C"/>
        </w:rPr>
        <w:t xml:space="preserve"> или с помощью технических средств контроля</w:t>
      </w:r>
      <w:r w:rsidRPr="00743E81">
        <w:rPr>
          <w:rFonts w:ascii="Gerbera" w:hAnsi="Gerbera"/>
          <w:color w:val="575D6C"/>
        </w:rPr>
        <w:t>;</w:t>
      </w:r>
    </w:p>
    <w:p w:rsidR="00206B7A" w:rsidRPr="00743E81" w:rsidRDefault="00206B7A" w:rsidP="00D4477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t xml:space="preserve">до 400 000 руб., если у участников нет разногласий, </w:t>
      </w:r>
      <w:r w:rsidR="00743E81">
        <w:rPr>
          <w:rFonts w:ascii="Gerbera" w:hAnsi="Gerbera"/>
          <w:color w:val="575D6C"/>
        </w:rPr>
        <w:t xml:space="preserve">а аварию оформили в приложении </w:t>
      </w:r>
      <w:r w:rsidR="00D4477A" w:rsidRPr="00743E81">
        <w:rPr>
          <w:rFonts w:ascii="Gerbera" w:hAnsi="Gerbera"/>
          <w:color w:val="575D6C"/>
        </w:rPr>
        <w:t>или с помощью технических средств контроля.</w:t>
      </w:r>
    </w:p>
    <w:p w:rsidR="005F3D71" w:rsidRPr="00743E81" w:rsidRDefault="005F3D71" w:rsidP="00D4477A">
      <w:pPr>
        <w:pStyle w:val="a5"/>
        <w:spacing w:line="240" w:lineRule="auto"/>
        <w:ind w:left="709" w:hanging="425"/>
        <w:jc w:val="both"/>
        <w:rPr>
          <w:rFonts w:ascii="Gerbera" w:hAnsi="Gerbera"/>
          <w:color w:val="575D6C"/>
        </w:rPr>
      </w:pPr>
    </w:p>
    <w:p w:rsidR="00A56B44" w:rsidRPr="00743E81" w:rsidRDefault="00A56B44" w:rsidP="00D4477A">
      <w:pPr>
        <w:spacing w:line="240" w:lineRule="auto"/>
        <w:jc w:val="both"/>
        <w:rPr>
          <w:rFonts w:ascii="Gerbera" w:hAnsi="Gerbera"/>
          <w:color w:val="575D6C"/>
        </w:rPr>
      </w:pPr>
      <w:r w:rsidRPr="00743E81">
        <w:rPr>
          <w:rFonts w:ascii="Gerbera" w:hAnsi="Gerbera"/>
          <w:color w:val="575D6C"/>
        </w:rPr>
        <w:br w:type="page"/>
      </w:r>
    </w:p>
    <w:p w:rsidR="0034088B" w:rsidRPr="00743E81" w:rsidRDefault="0033354C" w:rsidP="00D4477A">
      <w:pPr>
        <w:pStyle w:val="a8"/>
        <w:ind w:left="709"/>
        <w:jc w:val="center"/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 по заполнению</w:t>
      </w:r>
      <w:r w:rsidR="00A56B44" w:rsidRPr="00743E81"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="0034088B" w:rsidRPr="00743E81">
        <w:rPr>
          <w:rFonts w:ascii="Gerbera" w:eastAsia="Times New Roman" w:hAnsi="Gerbera" w:cs="Times New Roman"/>
          <w:b/>
          <w:bCs/>
          <w:color w:val="000000"/>
          <w:sz w:val="24"/>
          <w:szCs w:val="24"/>
          <w:lang w:eastAsia="ru-RU"/>
        </w:rPr>
        <w:t>звещения о ДТП</w:t>
      </w:r>
    </w:p>
    <w:p w:rsidR="00A56B44" w:rsidRPr="00743E81" w:rsidRDefault="00A56B44" w:rsidP="00D4477A">
      <w:pPr>
        <w:pStyle w:val="a8"/>
        <w:ind w:left="709"/>
        <w:jc w:val="both"/>
        <w:rPr>
          <w:rFonts w:ascii="Gerbera" w:eastAsia="Times New Roman" w:hAnsi="Gerbera" w:cs="Times New Roman"/>
          <w:b/>
          <w:color w:val="000000" w:themeColor="text1"/>
          <w:sz w:val="28"/>
          <w:szCs w:val="28"/>
          <w:lang w:eastAsia="ru-RU"/>
        </w:rPr>
      </w:pPr>
    </w:p>
    <w:p w:rsidR="00A56B44" w:rsidRPr="00743E81" w:rsidRDefault="00A56B44" w:rsidP="00D4477A">
      <w:pPr>
        <w:shd w:val="clear" w:color="auto" w:fill="FFFFFF"/>
        <w:spacing w:before="240" w:after="0" w:line="240" w:lineRule="auto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Бланк извещения о ДТП нужно заполнить в любом случае, даже если происшествие оформляли сотрудники ГИБДД. Есть несколько важных моментов:</w:t>
      </w:r>
    </w:p>
    <w:p w:rsidR="00A56B44" w:rsidRPr="00743E81" w:rsidRDefault="00A56B44" w:rsidP="00D4477A">
      <w:pPr>
        <w:shd w:val="clear" w:color="auto" w:fill="FFFFFF"/>
        <w:spacing w:before="240" w:after="0" w:line="240" w:lineRule="auto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</w:p>
    <w:p w:rsidR="00A56B44" w:rsidRPr="00743E81" w:rsidRDefault="00A56B44" w:rsidP="00D4477A">
      <w:pPr>
        <w:numPr>
          <w:ilvl w:val="0"/>
          <w:numId w:val="13"/>
        </w:numPr>
        <w:spacing w:after="240" w:line="240" w:lineRule="auto"/>
        <w:ind w:left="0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Используйте один комплект бланков. Заполнять его желательно шариковой ручкой.</w:t>
      </w:r>
    </w:p>
    <w:p w:rsidR="00A56B44" w:rsidRPr="00743E81" w:rsidRDefault="00A56B44" w:rsidP="00D4477A">
      <w:pPr>
        <w:numPr>
          <w:ilvl w:val="0"/>
          <w:numId w:val="13"/>
        </w:numPr>
        <w:spacing w:before="240" w:after="240" w:line="240" w:lineRule="auto"/>
        <w:ind w:left="0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Пишите разборчиво! Особое внимание уделите п. 14, п. 16, п. 17</w:t>
      </w:r>
      <w:r w:rsid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 xml:space="preserve"> </w:t>
      </w:r>
      <w:r w:rsidR="00743E81"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 xml:space="preserve">на </w:t>
      </w:r>
      <w:proofErr w:type="gramStart"/>
      <w:r w:rsidR="00743E81"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бланке</w:t>
      </w:r>
      <w:proofErr w:type="gramEnd"/>
      <w:r w:rsidR="00743E81"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 xml:space="preserve"> старого образца, либо п. 9, п. 11, п. 12, если у вас бланк нового образца</w:t>
      </w: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, где указываются перечень повреждений, обстоятельства ДТП, схема ДТП. Напишите все подробно.</w:t>
      </w:r>
    </w:p>
    <w:p w:rsidR="00A56B44" w:rsidRPr="00743E81" w:rsidRDefault="00A56B44" w:rsidP="00D4477A">
      <w:pPr>
        <w:numPr>
          <w:ilvl w:val="0"/>
          <w:numId w:val="13"/>
        </w:numPr>
        <w:spacing w:before="240" w:after="240" w:line="240" w:lineRule="auto"/>
        <w:ind w:left="0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Нужные ячейки отмечайте крестиком или галочкой.</w:t>
      </w:r>
    </w:p>
    <w:p w:rsidR="00A56B44" w:rsidRPr="00743E81" w:rsidRDefault="00A56B44" w:rsidP="00D4477A">
      <w:pPr>
        <w:numPr>
          <w:ilvl w:val="0"/>
          <w:numId w:val="13"/>
        </w:numPr>
        <w:spacing w:before="240" w:after="240" w:line="240" w:lineRule="auto"/>
        <w:ind w:left="0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Не оставляйте графы, в которых отсутствуют какие-либо сведения, пустыми. Поставьте длинный прочерк либо большую букву Z или напишите «нет..</w:t>
      </w:r>
      <w:proofErr w:type="gramStart"/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.(</w:t>
      </w:r>
      <w:proofErr w:type="gramEnd"/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свидетелей, замечаний, примечаний и т. д.)».</w:t>
      </w:r>
    </w:p>
    <w:p w:rsidR="00A56B44" w:rsidRPr="00743E81" w:rsidRDefault="00A56B44" w:rsidP="00D4477A">
      <w:pPr>
        <w:numPr>
          <w:ilvl w:val="0"/>
          <w:numId w:val="13"/>
        </w:numPr>
        <w:spacing w:before="240" w:after="240" w:line="240" w:lineRule="auto"/>
        <w:ind w:left="0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Лицевая сторона извещения заполняется участниками совместно, а оборотная сторона — каждым водителем самостоятельно.</w:t>
      </w:r>
    </w:p>
    <w:p w:rsidR="00A56B44" w:rsidRPr="00743E81" w:rsidRDefault="00A56B44" w:rsidP="00D4477A">
      <w:pPr>
        <w:numPr>
          <w:ilvl w:val="0"/>
          <w:numId w:val="13"/>
        </w:numPr>
        <w:spacing w:before="240" w:after="240" w:line="240" w:lineRule="auto"/>
        <w:ind w:left="0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proofErr w:type="gramStart"/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 xml:space="preserve">Сведения об участниках, обстоятельства происшествия, схема ДТП, характер и перечень видимых повреждений оба водителя должны подписать дважды: в п. 15, п. 18, </w:t>
      </w:r>
      <w:r w:rsidR="00743E81"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на бланке старого образца, либо в п. 10, п. 13, если у вас бланк нового образца,  </w:t>
      </w: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в подтверждение отсутствия/наличия разногласий участников ДТП в оценке обстоятельств причинения вреда в результате ДТП, а также характера и перечня видимых повреждений.</w:t>
      </w:r>
      <w:proofErr w:type="gramEnd"/>
    </w:p>
    <w:p w:rsidR="00A56B44" w:rsidRPr="00743E81" w:rsidRDefault="00A56B44" w:rsidP="00D4477A">
      <w:pPr>
        <w:numPr>
          <w:ilvl w:val="0"/>
          <w:numId w:val="13"/>
        </w:numPr>
        <w:spacing w:before="240" w:after="240" w:line="240" w:lineRule="auto"/>
        <w:ind w:left="0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 xml:space="preserve">Если есть разногласия, напишите об этом в п. 18 </w:t>
      </w:r>
      <w:r w:rsidR="00743E81"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 xml:space="preserve">на бланке старого образца, либо п. 13, если у вас бланк нового образца, </w:t>
      </w: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и на обо</w:t>
      </w:r>
      <w:r w:rsid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ротной стороне извещения в п. 7</w:t>
      </w: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 xml:space="preserve"> </w:t>
      </w:r>
      <w:r w:rsidR="00743E81"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на бланке старого образца, либо в п. 18, если у вас бланк нового образца</w:t>
      </w:r>
      <w:r w:rsid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.</w:t>
      </w:r>
      <w:r w:rsidR="00743E81"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 xml:space="preserve"> </w:t>
      </w:r>
      <w:proofErr w:type="gramStart"/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Н</w:t>
      </w:r>
      <w:proofErr w:type="gramEnd"/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а обороте опишите обстоятельства ДТП максимально подробно, от первого лица.</w:t>
      </w:r>
    </w:p>
    <w:p w:rsidR="00A56B44" w:rsidRPr="00743E81" w:rsidRDefault="00A56B44" w:rsidP="00D4477A">
      <w:pPr>
        <w:numPr>
          <w:ilvl w:val="0"/>
          <w:numId w:val="13"/>
        </w:numPr>
        <w:spacing w:before="240" w:after="240" w:line="240" w:lineRule="auto"/>
        <w:ind w:left="0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Подпишите извещение с лицевой и оборотной</w:t>
      </w:r>
      <w:bookmarkStart w:id="0" w:name="_GoBack"/>
      <w:bookmarkEnd w:id="0"/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 xml:space="preserve"> стороны.</w:t>
      </w:r>
    </w:p>
    <w:p w:rsidR="00A56B44" w:rsidRPr="00743E81" w:rsidRDefault="00A56B44" w:rsidP="00D4477A">
      <w:pPr>
        <w:numPr>
          <w:ilvl w:val="0"/>
          <w:numId w:val="13"/>
        </w:numPr>
        <w:spacing w:before="240" w:after="0" w:line="240" w:lineRule="auto"/>
        <w:ind w:left="0"/>
        <w:jc w:val="both"/>
        <w:textAlignment w:val="baseline"/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</w:pPr>
      <w:r w:rsidRPr="00743E81">
        <w:rPr>
          <w:rFonts w:ascii="Gerbera" w:eastAsia="Times New Roman" w:hAnsi="Gerbera" w:cs="Times New Roman"/>
          <w:color w:val="575D6C"/>
          <w:sz w:val="24"/>
          <w:szCs w:val="24"/>
          <w:lang w:eastAsia="ru-RU"/>
        </w:rPr>
        <w:t>Заполняйте извещение внимательно: все исправления придется заверять подписями обоих участников.</w:t>
      </w:r>
    </w:p>
    <w:p w:rsidR="00574E4A" w:rsidRPr="00574E4A" w:rsidRDefault="00574E4A" w:rsidP="00D4477A">
      <w:pPr>
        <w:pStyle w:val="a5"/>
        <w:spacing w:line="240" w:lineRule="auto"/>
        <w:ind w:left="709" w:hanging="425"/>
        <w:jc w:val="both"/>
        <w:rPr>
          <w:rFonts w:ascii="Gerbera Light" w:hAnsi="Gerbera Light" w:cs="Times New Roman"/>
        </w:rPr>
      </w:pPr>
    </w:p>
    <w:sectPr w:rsidR="00574E4A" w:rsidRPr="00574E4A" w:rsidSect="00F82C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rbera Light">
    <w:panose1 w:val="00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Gerbera">
    <w:panose1 w:val="020005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C19"/>
    <w:multiLevelType w:val="multilevel"/>
    <w:tmpl w:val="33FCA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12C0AD9"/>
    <w:multiLevelType w:val="hybridMultilevel"/>
    <w:tmpl w:val="2056C47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943B1D"/>
    <w:multiLevelType w:val="multilevel"/>
    <w:tmpl w:val="5D948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0C54F4"/>
    <w:multiLevelType w:val="hybridMultilevel"/>
    <w:tmpl w:val="C2525F28"/>
    <w:lvl w:ilvl="0" w:tplc="0D5C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7B5160"/>
    <w:multiLevelType w:val="hybridMultilevel"/>
    <w:tmpl w:val="2B20CDBA"/>
    <w:lvl w:ilvl="0" w:tplc="C8341E50">
      <w:numFmt w:val="bullet"/>
      <w:lvlText w:val="•"/>
      <w:lvlJc w:val="left"/>
      <w:pPr>
        <w:ind w:left="2690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98B532F"/>
    <w:multiLevelType w:val="multilevel"/>
    <w:tmpl w:val="E9727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D022E6D"/>
    <w:multiLevelType w:val="hybridMultilevel"/>
    <w:tmpl w:val="8F22941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415D05"/>
    <w:multiLevelType w:val="multilevel"/>
    <w:tmpl w:val="BDC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72E90"/>
    <w:multiLevelType w:val="hybridMultilevel"/>
    <w:tmpl w:val="FC2A953A"/>
    <w:lvl w:ilvl="0" w:tplc="0D5CE7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DB1F94"/>
    <w:multiLevelType w:val="hybridMultilevel"/>
    <w:tmpl w:val="8326B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F4242"/>
    <w:multiLevelType w:val="multilevel"/>
    <w:tmpl w:val="42F053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1">
    <w:nsid w:val="62430319"/>
    <w:multiLevelType w:val="multilevel"/>
    <w:tmpl w:val="5D948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A4D5F32"/>
    <w:multiLevelType w:val="multilevel"/>
    <w:tmpl w:val="7C9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A33F9"/>
    <w:multiLevelType w:val="hybridMultilevel"/>
    <w:tmpl w:val="3522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B3554"/>
    <w:multiLevelType w:val="hybridMultilevel"/>
    <w:tmpl w:val="2E5E149A"/>
    <w:lvl w:ilvl="0" w:tplc="C8341E5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B6D62C0"/>
    <w:multiLevelType w:val="multilevel"/>
    <w:tmpl w:val="438A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14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0"/>
    <w:rsid w:val="0000431D"/>
    <w:rsid w:val="0000523B"/>
    <w:rsid w:val="00021F21"/>
    <w:rsid w:val="00023756"/>
    <w:rsid w:val="000311D7"/>
    <w:rsid w:val="000B03E0"/>
    <w:rsid w:val="000B08D0"/>
    <w:rsid w:val="000F2177"/>
    <w:rsid w:val="00112D95"/>
    <w:rsid w:val="0014335F"/>
    <w:rsid w:val="001B3F66"/>
    <w:rsid w:val="001C0D64"/>
    <w:rsid w:val="001C30E8"/>
    <w:rsid w:val="001D32AC"/>
    <w:rsid w:val="001E04D5"/>
    <w:rsid w:val="001F0F08"/>
    <w:rsid w:val="00206B7A"/>
    <w:rsid w:val="002216BD"/>
    <w:rsid w:val="00224959"/>
    <w:rsid w:val="002D5CE5"/>
    <w:rsid w:val="00301175"/>
    <w:rsid w:val="00305DC5"/>
    <w:rsid w:val="0033354C"/>
    <w:rsid w:val="0034088B"/>
    <w:rsid w:val="00364D59"/>
    <w:rsid w:val="00390CCF"/>
    <w:rsid w:val="003A4C72"/>
    <w:rsid w:val="003B0814"/>
    <w:rsid w:val="003C0CB5"/>
    <w:rsid w:val="003F4969"/>
    <w:rsid w:val="00400BA9"/>
    <w:rsid w:val="00403954"/>
    <w:rsid w:val="004154C0"/>
    <w:rsid w:val="004746C0"/>
    <w:rsid w:val="004A6A94"/>
    <w:rsid w:val="004E2169"/>
    <w:rsid w:val="004E4E11"/>
    <w:rsid w:val="005301FE"/>
    <w:rsid w:val="0053518D"/>
    <w:rsid w:val="00574E4A"/>
    <w:rsid w:val="005E7245"/>
    <w:rsid w:val="005F3D71"/>
    <w:rsid w:val="00604FEF"/>
    <w:rsid w:val="00641C60"/>
    <w:rsid w:val="00654C21"/>
    <w:rsid w:val="006C74F9"/>
    <w:rsid w:val="006E4331"/>
    <w:rsid w:val="00714CF2"/>
    <w:rsid w:val="00743E81"/>
    <w:rsid w:val="007765BA"/>
    <w:rsid w:val="007E038D"/>
    <w:rsid w:val="0082205C"/>
    <w:rsid w:val="008534A7"/>
    <w:rsid w:val="0089408D"/>
    <w:rsid w:val="008C5DAD"/>
    <w:rsid w:val="008C7303"/>
    <w:rsid w:val="0090499B"/>
    <w:rsid w:val="00904EAF"/>
    <w:rsid w:val="00954D55"/>
    <w:rsid w:val="00A11F61"/>
    <w:rsid w:val="00A21ED6"/>
    <w:rsid w:val="00A56B44"/>
    <w:rsid w:val="00A84AE4"/>
    <w:rsid w:val="00B631D2"/>
    <w:rsid w:val="00BC58CB"/>
    <w:rsid w:val="00BC5D29"/>
    <w:rsid w:val="00BF34B2"/>
    <w:rsid w:val="00C26063"/>
    <w:rsid w:val="00C31219"/>
    <w:rsid w:val="00C70306"/>
    <w:rsid w:val="00C7504D"/>
    <w:rsid w:val="00CE5B3C"/>
    <w:rsid w:val="00CF3DCA"/>
    <w:rsid w:val="00D325A9"/>
    <w:rsid w:val="00D4477A"/>
    <w:rsid w:val="00D52632"/>
    <w:rsid w:val="00D7068C"/>
    <w:rsid w:val="00D8556D"/>
    <w:rsid w:val="00D9050F"/>
    <w:rsid w:val="00D91760"/>
    <w:rsid w:val="00DB3365"/>
    <w:rsid w:val="00DB35FB"/>
    <w:rsid w:val="00DD15EB"/>
    <w:rsid w:val="00DE2AD0"/>
    <w:rsid w:val="00DF5D4F"/>
    <w:rsid w:val="00E070B3"/>
    <w:rsid w:val="00E16775"/>
    <w:rsid w:val="00E17D73"/>
    <w:rsid w:val="00E35C2A"/>
    <w:rsid w:val="00E371A7"/>
    <w:rsid w:val="00E40BD1"/>
    <w:rsid w:val="00E77EB2"/>
    <w:rsid w:val="00E90CED"/>
    <w:rsid w:val="00F27D33"/>
    <w:rsid w:val="00F60FF5"/>
    <w:rsid w:val="00F62379"/>
    <w:rsid w:val="00F82CB0"/>
    <w:rsid w:val="00FB0E3B"/>
    <w:rsid w:val="00FC1C79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6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54C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1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354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41C60"/>
    <w:pPr>
      <w:spacing w:after="0" w:line="240" w:lineRule="auto"/>
    </w:pPr>
  </w:style>
  <w:style w:type="character" w:styleId="a9">
    <w:name w:val="Strong"/>
    <w:basedOn w:val="a0"/>
    <w:uiPriority w:val="22"/>
    <w:qFormat/>
    <w:rsid w:val="0030117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56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6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54C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1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354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41C60"/>
    <w:pPr>
      <w:spacing w:after="0" w:line="240" w:lineRule="auto"/>
    </w:pPr>
  </w:style>
  <w:style w:type="character" w:styleId="a9">
    <w:name w:val="Strong"/>
    <w:basedOn w:val="a0"/>
    <w:uiPriority w:val="22"/>
    <w:qFormat/>
    <w:rsid w:val="0030117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56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8B2C-C40E-4C4E-989B-B111935E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«Группа Ренессанс Страхование»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 Marina</dc:creator>
  <cp:lastModifiedBy>Volkova Ekaterina</cp:lastModifiedBy>
  <cp:revision>2</cp:revision>
  <cp:lastPrinted>2019-04-19T14:03:00Z</cp:lastPrinted>
  <dcterms:created xsi:type="dcterms:W3CDTF">2019-12-05T08:12:00Z</dcterms:created>
  <dcterms:modified xsi:type="dcterms:W3CDTF">2019-12-05T08:12:00Z</dcterms:modified>
</cp:coreProperties>
</file>